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" w:firstLineChars="33"/>
        <w:jc w:val="center"/>
        <w:rPr>
          <w:rFonts w:hint="eastAsia" w:ascii="宋体" w:hAnsi="宋体"/>
          <w:bCs/>
          <w:color w:val="FF0000"/>
          <w:sz w:val="144"/>
        </w:rPr>
      </w:pPr>
      <w:r>
        <w:rPr>
          <w:rFonts w:hint="eastAsia" w:ascii="宋体" w:hAnsi="宋体"/>
          <w:bCs/>
          <w:color w:val="FF0000"/>
          <w:spacing w:val="73"/>
          <w:w w:val="44"/>
          <w:kern w:val="0"/>
          <w:sz w:val="144"/>
          <w:fitText w:val="7350" w:id="0"/>
        </w:rPr>
        <w:t>新 疆 财 经 大 学</w:t>
      </w:r>
      <w:r>
        <w:rPr>
          <w:rFonts w:hint="eastAsia" w:ascii="宋体" w:hAnsi="宋体"/>
          <w:bCs/>
          <w:color w:val="FF0000"/>
          <w:spacing w:val="2"/>
          <w:w w:val="44"/>
          <w:kern w:val="0"/>
          <w:sz w:val="144"/>
          <w:fitText w:val="7350" w:id="0"/>
        </w:rPr>
        <w:t xml:space="preserve"> </w:t>
      </w:r>
    </w:p>
    <w:p>
      <w:pPr>
        <w:spacing w:line="560" w:lineRule="exact"/>
        <w:jc w:val="center"/>
        <w:rPr>
          <w:rFonts w:hint="eastAsia" w:eastAsia="方正大标宋简体"/>
          <w:bCs/>
          <w:color w:val="FF0000"/>
          <w:sz w:val="144"/>
        </w:rPr>
      </w:pPr>
      <w:r>
        <w:rPr>
          <w:rFonts w:hint="eastAsia" w:ascii="仿宋_GB2312" w:eastAsia="仿宋_GB2312"/>
          <w:sz w:val="32"/>
        </w:rPr>
        <w:t>研字</w:t>
      </w:r>
      <w:r>
        <w:rPr>
          <w:rFonts w:hint="eastAsia" w:ascii="仿宋_GB2312" w:hAnsi="宋体" w:eastAsia="仿宋_GB2312"/>
          <w:sz w:val="32"/>
        </w:rPr>
        <w:t>〔</w:t>
      </w:r>
      <w:r>
        <w:rPr>
          <w:rFonts w:hint="eastAsia" w:ascii="仿宋_GB2312" w:hAnsi="宋体" w:eastAsia="仿宋_GB2312"/>
          <w:sz w:val="32"/>
          <w:lang w:val="en-US" w:eastAsia="zh-CN"/>
        </w:rPr>
        <w:t>2017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</w:rPr>
        <w:t xml:space="preserve">号                      </w:t>
      </w:r>
    </w:p>
    <w:p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ascii="宋体" w:hAnsi="宋体"/>
          <w:b/>
          <w:bCs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00700" cy="0"/>
                <wp:effectExtent l="19050" t="17145" r="1905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0pt;margin-top:15.6pt;height:0pt;width:441pt;z-index:251660288;mso-width-relative:page;mso-height-relative:page;" filled="f" stroked="t" coordsize="21600,21600" o:gfxdata="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uAbsP1gAAAAYBAAAPAAAAAAAAAAEAIAAAACIA&#10;AABkcnMvZG93bnJldi54bWxQSwECFAAUAAAACACHTuJAQZak99IBAABnAwAADgAAAAAAAAABACAA&#10;AAAlAQAAZHJzL2Uyb0RvYy54bWxQSwUGAAAAAAYABgBZAQAAa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396240</wp:posOffset>
                </wp:positionV>
                <wp:extent cx="0" cy="0"/>
                <wp:effectExtent l="9525" t="5715" r="952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25pt;margin-top:31.2pt;height:0pt;width:0pt;z-index:251659264;mso-width-relative:page;mso-height-relative:page;" filled="f" stroked="t" coordsize="21600,21600" o:gfxdata="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PerLdQAAAAJAQAADwAAAAAAAAABACAAAAAiAAAAZHJzL2Rvd25yZXYueG1sUEsB&#10;AhQAFAAAAAgAh07iQMD6/TXAAQAAVgMAAA4AAAAAAAAAAQAgAAAAIw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pacing w:val="-10"/>
          <w:w w:val="9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w w:val="90"/>
          <w:sz w:val="44"/>
          <w:szCs w:val="44"/>
        </w:rPr>
        <w:t>关于表彰201</w:t>
      </w:r>
      <w:r>
        <w:rPr>
          <w:rFonts w:hint="eastAsia" w:ascii="方正小标宋简体" w:eastAsia="方正小标宋简体"/>
          <w:spacing w:val="-10"/>
          <w:w w:val="90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pacing w:val="-10"/>
          <w:w w:val="90"/>
          <w:sz w:val="44"/>
          <w:szCs w:val="44"/>
        </w:rPr>
        <w:t>届优秀硕士学位论文获得者的决定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根据《新疆财经大学优秀硕士学位论文评选办法》（校发【2009】169号），经各研究生培养单位答辩委员会推荐，研究生处审核，对201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届优秀硕士学位论文获得者予以表彰，名单如下：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1、《新疆交通基础设施建设的金融支持研究》，作者：杨素娟（金融学），导师：卢爱珍；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2、《新疆科技金融运行效率研究》，作者：廉银萍（金融学），导师：王永茂；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3、《"丝绸之路经济带"视角下西北区域金融发展的收敛性研究》，作者：杨珍珍（金融学），导师：高丽；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4、《我国中小股份制商业银行稳健性的动态变化和影响因素研究》，作者：张云（金融学），导师：李季刚；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5、《C污水处理项目引入PPP模式问题研究》，作者：张惠深（金融(MF)），导师：刘文翠；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6、《昌吉州农户农业保险投保意愿影响因素调查研究》，作者：刘吉军（金融(MF)），导师：杨新顺；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7、《喀什地区居民普惠金融发展现状的调查研究》，作者：刘胜（金融(MF)），导师：雷汉云；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8、《PPP项目中优化政府职能的法律对策研究》，作者：唐霞（经济法学），导师：姜德鑫；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9、《能源效率对中国与“一带一路”沿线国家能源贸易的影响研究》，作者：赵亚琼（国际贸易学），导师：程云洁；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10、《新疆城镇化质量测度及空间外溢效应研究》，作者：徐俐俐（区域经济学），导师：马远；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11、《新疆少数民族地区精准扶贫问题研究——基于巴里坤哈萨克自治县的调查》，作者：刘占芳（区域经济学），导师：肖春梅；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12、《城市餐厨垃圾供应链布局优化研究——以新疆乌鲁木齐市为例》，作者：王雪（企业管理），导师：张晟义；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13、《辱虐管理对员工沉默的影响机制研究》，作者：张聪（企业管理），导师：徐燕；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14、《新疆S公司税务风险管理研究》，作者：马小萍（税务硕士），导师：赵国春；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15、《“营改增”对乌鲁木齐市餐饮企业的影响及应对策略研究》，作者：周志鹏（会计），导师：陈维青；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16、《民营企业IPO与借壳上市对比研究——以葵花药业和景峰制药为例》，作者：李莹（会计），导师：李刚；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17、《GW公司多品种绿色债券融资案例研究》，作者：文珂（会计），导师：李刚；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18、《我国国有企业整体上市绩效评价研究——以上汽集团为例》，作者：李翊君（会计），导师：姚文英；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19、《分众传媒拆除VIE架构案例研究》，作者：吴鹏（会计硕士），导师：崔光莲；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20、《完美世界回归A股案例研究》，作者：董晓彤（会计硕士），导师：胡本源；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21、《新疆QK制药公司财务风险预警体系的优化》，作者：史苗（会计硕士），导师：杜勇；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22、《RBRVS系统在新疆W公立医院业绩评价中的应用研究》，作者：邵佩（会计硕士），导师：王海燕；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23、《新疆伊力特实业股份有限公司存货管理内部控制优化研究》，作者：侯紫娟（审计硕士），导师：陈利军；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24、《G集团公司财务报告内部控制优化研究》，作者：许恒靖（审计硕士），导师：李宇立；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25、《碳信息披露与股权融资成本——基于2011-2015中国CDP报告的实证研究》，作者：曾晓（会计学），导师：韩金红；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26、《审计质量、评级机构与公司债成本》，作者：陈小运（会计学），导师：孙文娟；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27、《审计行业监管溢出效应研究》，作者：阳海林（会计学），导师：胡本源；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28、《审计委员会与CFO的权力关系对审计费用及应计质量影响的实证研究》，作者：黄博涛（会计学），导师：胡本源；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29、《支持向量机在冰雹灾害预测预警中的应用——以阿克苏地区为例》，作者：李硕（统计学），导师：李国东；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30、《新疆地方财政支出对经济增长的影响及其区域差异研究》，作者：裴希鹏（数量经济学），导师：周勇；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31、《&lt;兵团日报&gt;（汉文版）关于“兵团精神”话语建构研究》，作者：咸玉柱（传播学），导师：罗彬；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32、《消费主义下“知青”电视剧的媒介文化向度研究》，作者：张欣慧（传播学），导师：武鸿鸣；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33、《&lt;人民日报&gt;对新生代农民工的报道研究》，作者：郭彦伟（新闻与传播），导师：艾美华；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34、《公共危机传播中的话语建构—以&lt;人民日报&gt;为例》，作者：刘欣（新闻与传播），导师：罗彬；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35、《大型体育赛事报道与新疆形象建构——以天山网十三冬报道为例》，作者：马小萍（新闻与传播），导师：焦若薇。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彰奖励优秀硕士学位论文，是促进我校研究生培养质量提高的一项重要举措。希望各研究生培养单位在今后的研究生培养过程中，突出研究生科研创新能力的培养，重视学位论文工作，健全和完善质量监控机制，努力提高研究生的学位论文水平和培养质量。同时希望受表彰的学生戒骄戒躁，继续努力，不断取得新的成绩，为我国的经济繁荣、社会发展、科技进步做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新疆财经大学研究生处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一七年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F9"/>
    <w:rsid w:val="001672E0"/>
    <w:rsid w:val="00286053"/>
    <w:rsid w:val="00446E96"/>
    <w:rsid w:val="00451CDA"/>
    <w:rsid w:val="00572D68"/>
    <w:rsid w:val="006051AF"/>
    <w:rsid w:val="006142AF"/>
    <w:rsid w:val="00715372"/>
    <w:rsid w:val="007D4F2A"/>
    <w:rsid w:val="007D6863"/>
    <w:rsid w:val="00870E6E"/>
    <w:rsid w:val="00DD12DF"/>
    <w:rsid w:val="00E25F1F"/>
    <w:rsid w:val="00E41EF9"/>
    <w:rsid w:val="355D2088"/>
    <w:rsid w:val="549142BA"/>
    <w:rsid w:val="591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323</Words>
  <Characters>1845</Characters>
  <Lines>15</Lines>
  <Paragraphs>4</Paragraphs>
  <ScaleCrop>false</ScaleCrop>
  <LinksUpToDate>false</LinksUpToDate>
  <CharactersWithSpaces>2164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2017-01-13T08:24:00Z</dcterms:created>
  <dc:creator>微软用户</dc:creator>
  <cp:lastModifiedBy>Administrator</cp:lastModifiedBy>
  <dcterms:modified xsi:type="dcterms:W3CDTF">2017-06-02T11:37:40Z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